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C0" w:rsidRDefault="003B6AC0" w:rsidP="003B6AC0">
      <w:pPr>
        <w:spacing w:after="303" w:line="259" w:lineRule="auto"/>
        <w:ind w:right="0" w:firstLine="0"/>
      </w:pPr>
      <w:r>
        <w:rPr>
          <w:rFonts w:ascii="Tahoma" w:eastAsia="Tahoma" w:hAnsi="Tahoma" w:cs="Tahoma"/>
          <w:color w:val="000000"/>
          <w:sz w:val="32"/>
        </w:rPr>
        <w:t xml:space="preserve">Forslag til: </w:t>
      </w:r>
    </w:p>
    <w:p w:rsidR="003B6AC0" w:rsidRDefault="003B6AC0" w:rsidP="003B6AC0">
      <w:pPr>
        <w:pStyle w:val="Overskrift1"/>
        <w:spacing w:line="259" w:lineRule="auto"/>
        <w:ind w:right="262" w:firstLine="0"/>
      </w:pPr>
      <w:r>
        <w:rPr>
          <w:rFonts w:ascii="Arial" w:eastAsia="Arial" w:hAnsi="Arial" w:cs="Arial"/>
          <w:color w:val="FF0000"/>
          <w:sz w:val="35"/>
        </w:rPr>
        <w:t xml:space="preserve">Forskrift om feie- og tilsynsavgift, Herøy kommune, Nordland </w:t>
      </w:r>
    </w:p>
    <w:tbl>
      <w:tblPr>
        <w:tblStyle w:val="TableGrid"/>
        <w:tblW w:w="6345" w:type="dxa"/>
        <w:tblInd w:w="17" w:type="dxa"/>
        <w:tblLook w:val="04A0" w:firstRow="1" w:lastRow="0" w:firstColumn="1" w:lastColumn="0" w:noHBand="0" w:noVBand="1"/>
      </w:tblPr>
      <w:tblGrid>
        <w:gridCol w:w="2281"/>
        <w:gridCol w:w="4064"/>
      </w:tblGrid>
      <w:tr w:rsidR="003B6AC0" w:rsidTr="005A4E83">
        <w:trPr>
          <w:trHeight w:val="327"/>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Dato </w:t>
            </w:r>
          </w:p>
        </w:tc>
        <w:tc>
          <w:tcPr>
            <w:tcW w:w="4064" w:type="dxa"/>
            <w:tcBorders>
              <w:top w:val="nil"/>
              <w:left w:val="nil"/>
              <w:bottom w:val="nil"/>
              <w:right w:val="nil"/>
            </w:tcBorders>
            <w:vAlign w:val="bottom"/>
          </w:tcPr>
          <w:p w:rsidR="003B6AC0" w:rsidRDefault="003B6AC0" w:rsidP="005A4E83">
            <w:pPr>
              <w:spacing w:after="0" w:line="259" w:lineRule="auto"/>
              <w:ind w:left="0" w:right="0" w:firstLine="0"/>
            </w:pPr>
            <w:r>
              <w:t xml:space="preserve"> </w:t>
            </w:r>
          </w:p>
        </w:tc>
      </w:tr>
      <w:tr w:rsidR="003B6AC0" w:rsidTr="005A4E83">
        <w:trPr>
          <w:trHeight w:val="303"/>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Publisert </w:t>
            </w:r>
          </w:p>
        </w:tc>
        <w:tc>
          <w:tcPr>
            <w:tcW w:w="4064" w:type="dxa"/>
            <w:tcBorders>
              <w:top w:val="nil"/>
              <w:left w:val="nil"/>
              <w:bottom w:val="nil"/>
              <w:right w:val="nil"/>
            </w:tcBorders>
            <w:vAlign w:val="bottom"/>
          </w:tcPr>
          <w:p w:rsidR="003B6AC0" w:rsidRDefault="003B6AC0" w:rsidP="005A4E83">
            <w:pPr>
              <w:spacing w:after="0" w:line="259" w:lineRule="auto"/>
              <w:ind w:left="0" w:right="0" w:firstLine="0"/>
            </w:pPr>
            <w:r>
              <w:t xml:space="preserve"> </w:t>
            </w:r>
          </w:p>
        </w:tc>
      </w:tr>
      <w:tr w:rsidR="003B6AC0" w:rsidTr="005A4E83">
        <w:trPr>
          <w:trHeight w:val="235"/>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Ikrafttredelse </w:t>
            </w:r>
          </w:p>
        </w:tc>
        <w:tc>
          <w:tcPr>
            <w:tcW w:w="4064" w:type="dxa"/>
            <w:tcBorders>
              <w:top w:val="nil"/>
              <w:left w:val="nil"/>
              <w:bottom w:val="nil"/>
              <w:right w:val="nil"/>
            </w:tcBorders>
          </w:tcPr>
          <w:p w:rsidR="003B6AC0" w:rsidRDefault="003B6AC0" w:rsidP="005A4E83">
            <w:pPr>
              <w:spacing w:after="0" w:line="259" w:lineRule="auto"/>
              <w:ind w:left="0" w:right="0" w:firstLine="0"/>
            </w:pPr>
            <w:r>
              <w:t>01</w:t>
            </w:r>
            <w:proofErr w:type="gramStart"/>
            <w:r>
              <w:t>.XX</w:t>
            </w:r>
            <w:proofErr w:type="gramEnd"/>
            <w:r>
              <w:t xml:space="preserve">.2019 </w:t>
            </w:r>
          </w:p>
        </w:tc>
      </w:tr>
      <w:tr w:rsidR="003B6AC0" w:rsidTr="005A4E83">
        <w:trPr>
          <w:trHeight w:val="302"/>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Gjelder for </w:t>
            </w:r>
          </w:p>
        </w:tc>
        <w:tc>
          <w:tcPr>
            <w:tcW w:w="4064" w:type="dxa"/>
            <w:tcBorders>
              <w:top w:val="nil"/>
              <w:left w:val="nil"/>
              <w:bottom w:val="nil"/>
              <w:right w:val="nil"/>
            </w:tcBorders>
          </w:tcPr>
          <w:p w:rsidR="003B6AC0" w:rsidRDefault="003B6AC0" w:rsidP="005A4E83">
            <w:pPr>
              <w:spacing w:after="0" w:line="259" w:lineRule="auto"/>
              <w:ind w:left="0" w:right="0" w:firstLine="0"/>
            </w:pPr>
            <w:r>
              <w:t xml:space="preserve">Herøy kommune, Nordland </w:t>
            </w:r>
          </w:p>
        </w:tc>
      </w:tr>
      <w:tr w:rsidR="003B6AC0" w:rsidTr="005A4E83">
        <w:trPr>
          <w:trHeight w:val="302"/>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Hjemmel </w:t>
            </w:r>
          </w:p>
        </w:tc>
        <w:tc>
          <w:tcPr>
            <w:tcW w:w="4064" w:type="dxa"/>
            <w:tcBorders>
              <w:top w:val="nil"/>
              <w:left w:val="nil"/>
              <w:bottom w:val="nil"/>
              <w:right w:val="nil"/>
            </w:tcBorders>
          </w:tcPr>
          <w:p w:rsidR="003B6AC0" w:rsidRDefault="003B6AC0" w:rsidP="005A4E83">
            <w:pPr>
              <w:spacing w:after="0" w:line="259" w:lineRule="auto"/>
              <w:ind w:left="0" w:right="0" w:firstLine="0"/>
            </w:pPr>
          </w:p>
        </w:tc>
      </w:tr>
      <w:tr w:rsidR="003B6AC0" w:rsidTr="005A4E83">
        <w:trPr>
          <w:trHeight w:val="370"/>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Kunngjort </w:t>
            </w:r>
          </w:p>
        </w:tc>
        <w:tc>
          <w:tcPr>
            <w:tcW w:w="4064" w:type="dxa"/>
            <w:tcBorders>
              <w:top w:val="nil"/>
              <w:left w:val="nil"/>
              <w:bottom w:val="nil"/>
              <w:right w:val="nil"/>
            </w:tcBorders>
            <w:vAlign w:val="bottom"/>
          </w:tcPr>
          <w:p w:rsidR="003B6AC0" w:rsidRDefault="003B6AC0" w:rsidP="005A4E83">
            <w:pPr>
              <w:spacing w:after="0" w:line="259" w:lineRule="auto"/>
              <w:ind w:left="0" w:right="0" w:firstLine="0"/>
            </w:pPr>
            <w:r>
              <w:t xml:space="preserve"> </w:t>
            </w:r>
          </w:p>
        </w:tc>
      </w:tr>
      <w:tr w:rsidR="003B6AC0" w:rsidTr="005A4E83">
        <w:trPr>
          <w:trHeight w:val="192"/>
        </w:trPr>
        <w:tc>
          <w:tcPr>
            <w:tcW w:w="2281" w:type="dxa"/>
            <w:tcBorders>
              <w:top w:val="nil"/>
              <w:left w:val="nil"/>
              <w:bottom w:val="nil"/>
              <w:right w:val="nil"/>
            </w:tcBorders>
          </w:tcPr>
          <w:p w:rsidR="003B6AC0" w:rsidRDefault="003B6AC0" w:rsidP="005A4E83">
            <w:pPr>
              <w:spacing w:after="0" w:line="259" w:lineRule="auto"/>
              <w:ind w:left="0" w:right="0" w:firstLine="0"/>
            </w:pPr>
            <w:r>
              <w:t xml:space="preserve">Korttittel </w:t>
            </w:r>
          </w:p>
        </w:tc>
        <w:tc>
          <w:tcPr>
            <w:tcW w:w="4064" w:type="dxa"/>
            <w:tcBorders>
              <w:top w:val="nil"/>
              <w:left w:val="nil"/>
              <w:bottom w:val="nil"/>
              <w:right w:val="nil"/>
            </w:tcBorders>
          </w:tcPr>
          <w:p w:rsidR="003B6AC0" w:rsidRDefault="003B6AC0" w:rsidP="005A4E83">
            <w:pPr>
              <w:spacing w:after="0" w:line="259" w:lineRule="auto"/>
              <w:ind w:left="0" w:right="0" w:firstLine="0"/>
              <w:jc w:val="both"/>
            </w:pPr>
            <w:r>
              <w:t xml:space="preserve">Forskrift om feie- og tilsynsavgift, Herøy </w:t>
            </w:r>
          </w:p>
        </w:tc>
      </w:tr>
    </w:tbl>
    <w:p w:rsidR="003B6AC0" w:rsidRDefault="003B6AC0" w:rsidP="003B6AC0">
      <w:pPr>
        <w:tabs>
          <w:tab w:val="right" w:pos="9666"/>
        </w:tabs>
        <w:spacing w:after="248" w:line="259" w:lineRule="auto"/>
        <w:ind w:left="0" w:right="0" w:firstLine="0"/>
      </w:pPr>
      <w:r>
        <w:rPr>
          <w:rFonts w:ascii="Calibri" w:eastAsia="Calibri" w:hAnsi="Calibri" w:cs="Calibri"/>
          <w:noProof/>
          <w:color w:val="000000"/>
          <w:sz w:val="22"/>
        </w:rPr>
        <mc:AlternateContent>
          <mc:Choice Requires="wpg">
            <w:drawing>
              <wp:inline distT="0" distB="0" distL="0" distR="0" wp14:anchorId="4591E26D" wp14:editId="08A84F5C">
                <wp:extent cx="5733034" cy="19431"/>
                <wp:effectExtent l="0" t="0" r="0" b="0"/>
                <wp:docPr id="3817" name="Group 3817"/>
                <wp:cNvGraphicFramePr/>
                <a:graphic xmlns:a="http://schemas.openxmlformats.org/drawingml/2006/main">
                  <a:graphicData uri="http://schemas.microsoft.com/office/word/2010/wordprocessingGroup">
                    <wpg:wgp>
                      <wpg:cNvGrpSpPr/>
                      <wpg:grpSpPr>
                        <a:xfrm>
                          <a:off x="0" y="0"/>
                          <a:ext cx="5733034" cy="19431"/>
                          <a:chOff x="0" y="0"/>
                          <a:chExt cx="5733034" cy="19431"/>
                        </a:xfrm>
                      </wpg:grpSpPr>
                      <wps:wsp>
                        <wps:cNvPr id="4834" name="Shape 4834"/>
                        <wps:cNvSpPr/>
                        <wps:spPr>
                          <a:xfrm>
                            <a:off x="0" y="0"/>
                            <a:ext cx="5730240" cy="18415"/>
                          </a:xfrm>
                          <a:custGeom>
                            <a:avLst/>
                            <a:gdLst/>
                            <a:ahLst/>
                            <a:cxnLst/>
                            <a:rect l="0" t="0" r="0" b="0"/>
                            <a:pathLst>
                              <a:path w="5730240" h="18415">
                                <a:moveTo>
                                  <a:pt x="0" y="0"/>
                                </a:moveTo>
                                <a:lnTo>
                                  <a:pt x="5730240" y="0"/>
                                </a:lnTo>
                                <a:lnTo>
                                  <a:pt x="573024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835" name="Shape 4835"/>
                        <wps:cNvSpPr/>
                        <wps:spPr>
                          <a:xfrm>
                            <a:off x="305"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836" name="Shape 4836"/>
                        <wps:cNvSpPr/>
                        <wps:spPr>
                          <a:xfrm>
                            <a:off x="3353" y="1143"/>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837" name="Shape 4837"/>
                        <wps:cNvSpPr/>
                        <wps:spPr>
                          <a:xfrm>
                            <a:off x="5729986"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838" name="Shape 4838"/>
                        <wps:cNvSpPr/>
                        <wps:spPr>
                          <a:xfrm>
                            <a:off x="305" y="41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839" name="Shape 4839"/>
                        <wps:cNvSpPr/>
                        <wps:spPr>
                          <a:xfrm>
                            <a:off x="5729986" y="41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840" name="Shape 4840"/>
                        <wps:cNvSpPr/>
                        <wps:spPr>
                          <a:xfrm>
                            <a:off x="305"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841" name="Shape 4841"/>
                        <wps:cNvSpPr/>
                        <wps:spPr>
                          <a:xfrm>
                            <a:off x="3353" y="16383"/>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842" name="Shape 4842"/>
                        <wps:cNvSpPr/>
                        <wps:spPr>
                          <a:xfrm>
                            <a:off x="5729986"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817" o:spid="_x0000_s1026" style="width:451.4pt;height:1.55pt;mso-position-horizontal-relative:char;mso-position-vertical-relative:line" coordsize="573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">
                <v:shape id="Shape 4834" o:spid="_x0000_s1027" style="position:absolute;width:57302;height:184;visibility:visible;mso-wrap-style:square;v-text-anchor:top" coordsize="573024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I+cgA&#10;AADdAAAADwAAAGRycy9kb3ducmV2LnhtbESPQWvCQBSE74X+h+UVvBTdWK1odBUrSvXQg1qo3p7Z&#10;1yQ0+zZm1xj/vVso9DjMzDfMZNaYQtRUudyygm4nAkGcWJ1zquBzv2oPQTiPrLGwTApu5GA2fXyY&#10;YKztlbdU73wqAoRdjAoy78tYSpdkZNB1bEkcvG9bGfRBVqnUFV4D3BTyJYoG0mDOYSHDkhYZJT+7&#10;i1Gw+Th81Rccnc6vR/18tFHj3pdvSrWemvkYhKfG/4f/2mutoD/s9eH3TX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hMj5yAAAAN0AAAAPAAAAAAAAAAAAAAAAAJgCAABk&#10;cnMvZG93bnJldi54bWxQSwUGAAAAAAQABAD1AAAAjQMAAAAA&#10;" path="m,l5730240,r,18415l,18415,,e" fillcolor="#a0a0a0" stroked="f" strokeweight="0">
                  <v:stroke miterlimit="83231f" joinstyle="miter"/>
                  <v:path arrowok="t" textboxrect="0,0,5730240,18415"/>
                </v:shape>
                <v:shape id="Shape 4835" o:spid="_x0000_s1028" style="position:absolute;left:3;top: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qosYA&#10;AADdAAAADwAAAGRycy9kb3ducmV2LnhtbESPT2vCQBTE7wW/w/IEb3Vj04qJriLFUqEn/yB4e2Sf&#10;STD7NmQ3MX77riB4HGbmN8xi1ZtKdNS40rKCyTgCQZxZXXKu4Hj4eZ+BcB5ZY2WZFNzJwWo5eFtg&#10;qu2Nd9TtfS4ChF2KCgrv61RKlxVk0I1tTRy8i20M+iCbXOoGbwFuKvkRRVNpsOSwUGBN3wVl131r&#10;FJzlKYnbuLv/yu0ksX920ybTo1KjYb+eg/DU+1f42d5qBZ+z+Ase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YqosYAAADdAAAADwAAAAAAAAAAAAAAAACYAgAAZHJz&#10;L2Rvd25yZXYueG1sUEsFBgAAAAAEAAQA9QAAAIsDAAAAAA==&#10;" path="m,l9144,r,9144l,9144,,e" fillcolor="#a0a0a0" stroked="f" strokeweight="0">
                  <v:stroke miterlimit="83231f" joinstyle="miter"/>
                  <v:path arrowok="t" textboxrect="0,0,9144,9144"/>
                </v:shape>
                <v:shape id="Shape 4836" o:spid="_x0000_s1029" style="position:absolute;left:33;top:11;width:57266;height:91;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P58QA&#10;AADdAAAADwAAAGRycy9kb3ducmV2LnhtbESPT2sCMRTE7wW/Q3hCbzVrLaKrUawgVPBQ/90fm+cm&#10;uHlZN1HXb98IBY/DzPyGmc5bV4kbNcF6VtDvZSCIC68tlwoO+9XHCESIyBorz6TgQQHms87bFHPt&#10;77yl2y6WIkE45KjAxFjnUobCkMPQ8zVx8k6+cRiTbEqpG7wnuKvkZ5YNpUPLacFgTUtDxXl3dQpa&#10;XG8v36uHOa7H/cuvK5abzFql3rvtYgIiUhtf4f/2j1bwNRoM4fkmP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8D+fEAAAA3QAAAA8AAAAAAAAAAAAAAAAAmAIAAGRycy9k&#10;b3ducmV2LnhtbFBLBQYAAAAABAAEAPUAAACJAwAAAAA=&#10;" path="m,l5726557,r,9144l,9144,,e" fillcolor="#a0a0a0" stroked="f" strokeweight="0">
                  <v:stroke miterlimit="83231f" joinstyle="miter"/>
                  <v:path arrowok="t" textboxrect="0,0,5726557,9144"/>
                </v:shape>
                <v:shape id="Shape 4837" o:spid="_x0000_s1030" style="position:absolute;left:57299;top: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RTsYA&#10;AADdAAAADwAAAGRycy9kb3ducmV2LnhtbESPT2vCQBTE7wW/w/IEb3VjU9REV5FiqdCTfxC8PbLP&#10;JJh9G7KbGL99VxB6HGbmN8xy3ZtKdNS40rKCyTgCQZxZXXKu4HT8fp+DcB5ZY2WZFDzIwXo1eFti&#10;qu2d99QdfC4ChF2KCgrv61RKlxVk0I1tTRy8q20M+iCbXOoG7wFuKvkRRVNpsOSwUGBNXwVlt0Nr&#10;FFzkOYnbuHv8yN0ksb922ybTk1KjYb9ZgPDU+//wq73TCj7n8Qy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gRTsYAAADdAAAADwAAAAAAAAAAAAAAAACYAgAAZHJz&#10;L2Rvd25yZXYueG1sUEsFBgAAAAAEAAQA9QAAAIsDAAAAAA==&#10;" path="m,l9144,r,9144l,9144,,e" fillcolor="#a0a0a0" stroked="f" strokeweight="0">
                  <v:stroke miterlimit="83231f" joinstyle="miter"/>
                  <v:path arrowok="t" textboxrect="0,0,9144,9144"/>
                </v:shape>
                <v:shape id="Shape 4838" o:spid="_x0000_s1031" style="position:absolute;left:3;top:41;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0CdsIA&#10;AADdAAAADwAAAGRycy9kb3ducmV2LnhtbERPu27CMBTdK/UfrIvUrXEoD0GKQVWlSqxAFrar+DYO&#10;xNepbULK1+MBifHovFebwbaiJx8axwrGWQ6CuHK64VpBefh5X4AIEVlj65gU/FOAzfr1ZYWFdlfe&#10;Ub+PtUghHApUYGLsCilDZchiyFxHnLhf5y3GBH0ttcdrCret/MjzubTYcGow2NG3oeq8v1gFl63p&#10;yr9TH2t/85PZwczK5fKo1Nto+PoEEWmIT/HDvdUKpotJmpvepCc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QJ2wgAAAN0AAAAPAAAAAAAAAAAAAAAAAJgCAABkcnMvZG93&#10;bnJldi54bWxQSwUGAAAAAAQABAD1AAAAhwMAAAAA&#10;" path="m,l9144,r,12192l,12192,,e" fillcolor="#a0a0a0" stroked="f" strokeweight="0">
                  <v:stroke miterlimit="83231f" joinstyle="miter"/>
                  <v:path arrowok="t" textboxrect="0,0,9144,12192"/>
                </v:shape>
                <v:shape id="Shape 4839" o:spid="_x0000_s1032" style="position:absolute;left:57299;top:41;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04cYA&#10;AADdAAAADwAAAGRycy9kb3ducmV2LnhtbESPQWvCQBSE74X+h+UVeil1E5USU1dpRUFPRSvo8ZF9&#10;TYLZ90J2G+O/7xYKPQ4z8w0zXw6uUT11vhY2kI4SUMSF2JpLA8fPzXMGygdki40wGbiRh+Xi/m6O&#10;uZUr76k/hFJFCPscDVQhtLnWvqjIoR9JSxy9L+kchii7UtsOrxHuGj1OkhftsOa4UGFLq4qKy+Hb&#10;GXhPL1nTr3eplaePvWxPZ388iTGPD8PbK6hAQ/gP/7W31sA0m8zg9018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G04cYAAADdAAAADwAAAAAAAAAAAAAAAACYAgAAZHJz&#10;L2Rvd25yZXYueG1sUEsFBgAAAAAEAAQA9QAAAIsDAAAAAA==&#10;" path="m,l9144,r,12192l,12192,,e" fillcolor="#e3e3e3" stroked="f" strokeweight="0">
                  <v:stroke miterlimit="83231f" joinstyle="miter"/>
                  <v:path arrowok="t" textboxrect="0,0,9144,12192"/>
                </v:shape>
                <v:shape id="Shape 4840" o:spid="_x0000_s1033" style="position:absolute;left:3;top:1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fScIA&#10;AADdAAAADwAAAGRycy9kb3ducmV2LnhtbERPTYvCMBC9L/gfwgheRNOtZZHaVHRB8CALuh48js3Y&#10;FptJaWKt/94cFvb4eN/ZejCN6KlztWUFn/MIBHFhdc2lgvPvbrYE4TyyxsYyKXiRg3U++sgw1fbJ&#10;R+pPvhQhhF2KCirv21RKV1Rk0M1tSxy4m+0M+gC7UuoOnyHcNDKOoi9psObQUGFL3xUV99PDKDia&#10;5PYTb189XacLraP4cJhenFKT8bBZgfA0+H/xn3uvFSTLJOwPb8ITk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l9JwgAAAN0AAAAPAAAAAAAAAAAAAAAAAJgCAABkcnMvZG93&#10;bnJldi54bWxQSwUGAAAAAAQABAD1AAAAhwMAAAAA&#10;" path="m,l9144,r,9144l,9144,,e" fillcolor="#e3e3e3" stroked="f" strokeweight="0">
                  <v:stroke miterlimit="83231f" joinstyle="miter"/>
                  <v:path arrowok="t" textboxrect="0,0,9144,9144"/>
                </v:shape>
                <v:shape id="Shape 4841" o:spid="_x0000_s1034" style="position:absolute;left:33;top:163;width:57266;height:92;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CL8YA&#10;AADdAAAADwAAAGRycy9kb3ducmV2LnhtbESPQWsCMRSE74L/ITzBS6lZRa1sjVJKW0TwoO6lt8fm&#10;uVncvCxJqtv+eiMUPA4z3wyzXHe2ERfyoXasYDzKQBCXTtdcKSiOn88LECEia2wck4JfCrBe9XtL&#10;zLW78p4uh1iJVMIhRwUmxjaXMpSGLIaRa4mTd3LeYkzSV1J7vKZy28hJls2lxZrTgsGW3g2V58OP&#10;VTCdFdvuo/RFoZ92X38v32ZmK6PUcNC9vYKI1MVH+J/e6MQtpmO4v0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TCL8YAAADdAAAADwAAAAAAAAAAAAAAAACYAgAAZHJz&#10;L2Rvd25yZXYueG1sUEsFBgAAAAAEAAQA9QAAAIsDAAAAAA==&#10;" path="m,l5726557,r,9144l,9144,,e" fillcolor="#e3e3e3" stroked="f" strokeweight="0">
                  <v:stroke miterlimit="83231f" joinstyle="miter"/>
                  <v:path arrowok="t" textboxrect="0,0,5726557,9144"/>
                </v:shape>
                <v:shape id="Shape 4842" o:spid="_x0000_s1035" style="position:absolute;left:57299;top:1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kpcUA&#10;AADdAAAADwAAAGRycy9kb3ducmV2LnhtbESPT4vCMBTE74LfITzBi2i6tYhUo7gLwh5E8M/B47N5&#10;tsXmpTTZWr/9RhA8DjPzG2a57kwlWmpcaVnB1yQCQZxZXXKu4HzajucgnEfWWFkmBU9ysF71e0tM&#10;tX3wgdqjz0WAsEtRQeF9nUrpsoIMuomtiYN3s41BH2STS93gI8BNJeMomkmDJYeFAmv6KSi7H/+M&#10;goNJbvv4+9nSdTTVOop3u9HFKTUcdJsFCE+d/4Tf7V+tIJknMbzeh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GSlxQAAAN0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r>
        <w:rPr>
          <w:rFonts w:ascii="Times New Roman" w:eastAsia="Times New Roman" w:hAnsi="Times New Roman" w:cs="Times New Roman"/>
          <w:color w:val="000000"/>
          <w:sz w:val="24"/>
        </w:rPr>
        <w:tab/>
        <w:t xml:space="preserve"> </w:t>
      </w:r>
    </w:p>
    <w:p w:rsidR="003B6AC0" w:rsidRDefault="003B6AC0" w:rsidP="003B6AC0">
      <w:pPr>
        <w:spacing w:after="36" w:line="259" w:lineRule="auto"/>
        <w:ind w:right="0" w:firstLine="0"/>
      </w:pPr>
      <w:r>
        <w:rPr>
          <w:rFonts w:ascii="Times New Roman" w:eastAsia="Times New Roman" w:hAnsi="Times New Roman" w:cs="Times New Roman"/>
          <w:color w:val="000000"/>
          <w:sz w:val="24"/>
        </w:rPr>
        <w:t xml:space="preserve"> </w:t>
      </w:r>
    </w:p>
    <w:p w:rsidR="003B6AC0" w:rsidRDefault="003B6AC0" w:rsidP="003B6AC0">
      <w:pPr>
        <w:spacing w:after="0" w:line="259" w:lineRule="auto"/>
        <w:ind w:right="0" w:firstLine="0"/>
      </w:pPr>
      <w:r>
        <w:rPr>
          <w:rFonts w:ascii="Tahoma" w:eastAsia="Tahoma" w:hAnsi="Tahoma" w:cs="Tahoma"/>
          <w:b/>
          <w:sz w:val="28"/>
        </w:rPr>
        <w:t>Forskrift om feie- og tilsynsavgift, Herøy kommune, Nordland</w:t>
      </w:r>
      <w:r>
        <w:rPr>
          <w:rFonts w:ascii="Tahoma" w:eastAsia="Tahoma" w:hAnsi="Tahoma" w:cs="Tahoma"/>
          <w:b/>
          <w:sz w:val="24"/>
        </w:rPr>
        <w:t xml:space="preserve"> </w:t>
      </w:r>
    </w:p>
    <w:p w:rsidR="003B6AC0" w:rsidRDefault="003B6AC0" w:rsidP="003B6AC0">
      <w:pPr>
        <w:spacing w:after="0" w:line="259" w:lineRule="auto"/>
        <w:ind w:left="0" w:right="-2" w:firstLine="0"/>
        <w:rPr>
          <w:b/>
          <w:sz w:val="16"/>
        </w:rPr>
      </w:pPr>
    </w:p>
    <w:p w:rsidR="003B6AC0" w:rsidRDefault="003B6AC0" w:rsidP="003B6AC0">
      <w:pPr>
        <w:spacing w:after="0" w:line="259" w:lineRule="auto"/>
        <w:ind w:left="0" w:right="-2" w:firstLine="0"/>
      </w:pPr>
      <w:r>
        <w:rPr>
          <w:b/>
          <w:sz w:val="16"/>
        </w:rPr>
        <w:t>Hjemmel:</w:t>
      </w:r>
      <w:r>
        <w:rPr>
          <w:sz w:val="16"/>
        </w:rPr>
        <w:t xml:space="preserve"> Fastsatt av Herøy kommunestyre</w:t>
      </w:r>
      <w:r>
        <w:rPr>
          <w:b/>
        </w:rPr>
        <w:t xml:space="preserve"> </w:t>
      </w:r>
      <w:r>
        <w:rPr>
          <w:sz w:val="16"/>
        </w:rPr>
        <w:t>«dato» med hjemmel i lov 14. juni 2002 nr. 20 om vern mot brann, eksplosjon og ulykker</w:t>
      </w:r>
      <w:r w:rsidRPr="00EA4DC8">
        <w:rPr>
          <w:sz w:val="16"/>
        </w:rPr>
        <w:t xml:space="preserve"> </w:t>
      </w:r>
      <w:r>
        <w:rPr>
          <w:sz w:val="16"/>
        </w:rPr>
        <w:t>med farlig stoff og om brannvesenets redningsoppgaver (brann- og eksplosjonsvernloven) § 28.</w:t>
      </w:r>
    </w:p>
    <w:p w:rsidR="003B6AC0" w:rsidRDefault="003B6AC0" w:rsidP="003B6AC0">
      <w:pPr>
        <w:spacing w:after="0" w:line="259" w:lineRule="auto"/>
        <w:ind w:right="0" w:firstLine="0"/>
        <w:rPr>
          <w:b/>
        </w:rPr>
      </w:pPr>
    </w:p>
    <w:p w:rsidR="003B6AC0" w:rsidRDefault="003B6AC0" w:rsidP="003B6AC0">
      <w:pPr>
        <w:spacing w:after="0" w:line="259" w:lineRule="auto"/>
        <w:ind w:right="0" w:firstLine="0"/>
        <w:rPr>
          <w:b/>
        </w:rPr>
      </w:pPr>
    </w:p>
    <w:p w:rsidR="003B6AC0" w:rsidRDefault="003B6AC0" w:rsidP="003B6AC0">
      <w:pPr>
        <w:spacing w:after="0" w:line="259" w:lineRule="auto"/>
        <w:ind w:right="0" w:firstLine="0"/>
      </w:pPr>
    </w:p>
    <w:p w:rsidR="003B6AC0" w:rsidRDefault="003B6AC0" w:rsidP="003B6AC0">
      <w:pPr>
        <w:pStyle w:val="Overskrift2"/>
        <w:ind w:left="12"/>
      </w:pPr>
      <w:r>
        <w:rPr>
          <w:i w:val="0"/>
        </w:rPr>
        <w:t xml:space="preserve">§ 1. </w:t>
      </w:r>
      <w:r>
        <w:t>Formål</w:t>
      </w:r>
      <w:r>
        <w:rPr>
          <w:b w:val="0"/>
          <w:i w:val="0"/>
        </w:rPr>
        <w:t xml:space="preserve"> </w:t>
      </w:r>
    </w:p>
    <w:p w:rsidR="003B6AC0" w:rsidRDefault="003B6AC0" w:rsidP="003B6AC0">
      <w:pPr>
        <w:spacing w:after="147"/>
        <w:ind w:left="2" w:right="623"/>
      </w:pPr>
      <w:r>
        <w:t xml:space="preserve">Formålet med </w:t>
      </w:r>
      <w:proofErr w:type="spellStart"/>
      <w:r>
        <w:t>forskriften</w:t>
      </w:r>
      <w:proofErr w:type="spellEnd"/>
      <w:r>
        <w:t xml:space="preserve"> er å gi klare retningslinjer og å sikre en konsekvent og enhetlig praksis i forbindelse med innkreving og fastsetting av feie- og tilsynsavgift. </w:t>
      </w:r>
    </w:p>
    <w:p w:rsidR="003B6AC0" w:rsidRDefault="003B6AC0" w:rsidP="003B6AC0">
      <w:pPr>
        <w:spacing w:after="0" w:line="259" w:lineRule="auto"/>
        <w:ind w:right="0" w:firstLine="0"/>
      </w:pPr>
      <w:r>
        <w:rPr>
          <w:b/>
        </w:rPr>
        <w:t xml:space="preserve"> </w:t>
      </w:r>
    </w:p>
    <w:p w:rsidR="003B6AC0" w:rsidRDefault="003B6AC0" w:rsidP="003B6AC0">
      <w:pPr>
        <w:pStyle w:val="Overskrift2"/>
        <w:ind w:left="12"/>
      </w:pPr>
      <w:r>
        <w:rPr>
          <w:i w:val="0"/>
        </w:rPr>
        <w:t xml:space="preserve">§ 2. </w:t>
      </w:r>
      <w:r>
        <w:t>Virkeområde</w:t>
      </w:r>
      <w:r>
        <w:rPr>
          <w:b w:val="0"/>
          <w:i w:val="0"/>
        </w:rPr>
        <w:t xml:space="preserve"> </w:t>
      </w:r>
    </w:p>
    <w:p w:rsidR="003B6AC0" w:rsidRDefault="003B6AC0" w:rsidP="003B6AC0">
      <w:pPr>
        <w:ind w:left="2" w:right="623"/>
      </w:pPr>
      <w:proofErr w:type="spellStart"/>
      <w:r>
        <w:t>Forskriften</w:t>
      </w:r>
      <w:proofErr w:type="spellEnd"/>
      <w:r>
        <w:t xml:space="preserve"> gjelder feiing og tilsyn av alle fyringsanlegg i Herøy kommune hvor lov om vern mot brann, eksplosjon og ulykker med farlig stoff og om brannvesenets redningsoppgaver (brann- og eksplosjonsvernloven) og </w:t>
      </w:r>
      <w:r>
        <w:rPr>
          <w:sz w:val="21"/>
        </w:rPr>
        <w:t>forskrift om brannforebygging</w:t>
      </w:r>
      <w:r>
        <w:t xml:space="preserve"> pålegger dette. </w:t>
      </w:r>
    </w:p>
    <w:p w:rsidR="003B6AC0" w:rsidRDefault="003B6AC0" w:rsidP="003B6AC0">
      <w:pPr>
        <w:spacing w:after="147"/>
        <w:ind w:left="2" w:right="623"/>
      </w:pPr>
      <w:r>
        <w:t>Avgiften skal dekke kommunens utgifter til lovbestemt feiing og tilsyn i henhold til forskrift av 01.0.2016 nr. 1710 f</w:t>
      </w:r>
      <w:r>
        <w:rPr>
          <w:sz w:val="21"/>
        </w:rPr>
        <w:t xml:space="preserve">orskrift om brannforebygging </w:t>
      </w:r>
      <w:r>
        <w:t xml:space="preserve">§ 6 basert på selvkostprinsippet. </w:t>
      </w:r>
    </w:p>
    <w:p w:rsidR="003B6AC0" w:rsidRDefault="003B6AC0" w:rsidP="003B6AC0">
      <w:pPr>
        <w:spacing w:after="0" w:line="259" w:lineRule="auto"/>
        <w:ind w:right="0" w:firstLine="0"/>
      </w:pPr>
      <w:r>
        <w:rPr>
          <w:b/>
        </w:rPr>
        <w:t xml:space="preserve"> </w:t>
      </w:r>
    </w:p>
    <w:p w:rsidR="003B6AC0" w:rsidRDefault="003B6AC0" w:rsidP="003B6AC0">
      <w:pPr>
        <w:pStyle w:val="Overskrift2"/>
        <w:ind w:left="12"/>
      </w:pPr>
      <w:r>
        <w:rPr>
          <w:i w:val="0"/>
        </w:rPr>
        <w:t xml:space="preserve">§ 3. </w:t>
      </w:r>
      <w:r>
        <w:t>Avgiftens størrelse</w:t>
      </w:r>
      <w:r>
        <w:rPr>
          <w:b w:val="0"/>
          <w:i w:val="0"/>
        </w:rPr>
        <w:t xml:space="preserve"> </w:t>
      </w:r>
    </w:p>
    <w:p w:rsidR="003B6AC0" w:rsidRDefault="003B6AC0" w:rsidP="003B6AC0">
      <w:pPr>
        <w:spacing w:after="1361"/>
        <w:ind w:left="2" w:right="623"/>
      </w:pPr>
      <w:r>
        <w:t xml:space="preserve">Fastsettelse av avgiftens størrelse for feiing og tilsyn med fyringsanlegg er basert på prinsippet om at avgiften bare skal dekke kostnadene for denne kommunale ytelsen og ikke kan brukes som skattegrunnlag. Avgiftens størrelse vedtas av kommunestyret. </w:t>
      </w:r>
    </w:p>
    <w:p w:rsidR="003B6AC0" w:rsidRDefault="003B6AC0" w:rsidP="003B6AC0">
      <w:pPr>
        <w:ind w:left="2" w:right="623"/>
      </w:pPr>
      <w:r>
        <w:lastRenderedPageBreak/>
        <w:t xml:space="preserve">Feie- og tilsynsavgiften knyttes til boenhet (helårsbolig og fritidsbolig) som har ildsted tilknyttet </w:t>
      </w:r>
      <w:proofErr w:type="spellStart"/>
      <w:r>
        <w:t>røykløp</w:t>
      </w:r>
      <w:proofErr w:type="spellEnd"/>
      <w:r>
        <w:t xml:space="preserve">. Der flere boenheter deler samme </w:t>
      </w:r>
      <w:proofErr w:type="spellStart"/>
      <w:r>
        <w:t>røykløp</w:t>
      </w:r>
      <w:proofErr w:type="spellEnd"/>
      <w:r>
        <w:t xml:space="preserve">, skal hver enkelt boenhet betale den fastsatte feie- og tilsynsavgiften. </w:t>
      </w:r>
    </w:p>
    <w:p w:rsidR="003B6AC0" w:rsidRDefault="003B6AC0" w:rsidP="003B6AC0">
      <w:pPr>
        <w:ind w:left="2" w:right="623"/>
      </w:pPr>
      <w:r>
        <w:t xml:space="preserve">Årlige avvik i forhold til budsjett utjevnes gjennom overføringer mot et bundet driftsfond som øremerkes for feie- og tilsynstjenestens virksomhet. </w:t>
      </w:r>
    </w:p>
    <w:p w:rsidR="003B6AC0" w:rsidRDefault="003B6AC0" w:rsidP="003B6AC0">
      <w:pPr>
        <w:spacing w:after="148"/>
        <w:ind w:left="2" w:right="623"/>
      </w:pPr>
      <w:r>
        <w:t xml:space="preserve">Feie- og tilsynstjenesten kan utføre andre oppgaver i umiddelbar tilknytning til feiing og tilsyn med fyringsanlegg dersom dette kun medfører en ubetydelig økning i tidsforbruket og således kan aksepteres dekket innenfor avgiften. </w:t>
      </w:r>
    </w:p>
    <w:p w:rsidR="003B6AC0" w:rsidRDefault="003B6AC0" w:rsidP="003B6AC0">
      <w:pPr>
        <w:spacing w:after="0" w:line="259" w:lineRule="auto"/>
        <w:ind w:right="0" w:firstLine="0"/>
      </w:pPr>
      <w:r>
        <w:rPr>
          <w:b/>
        </w:rPr>
        <w:t xml:space="preserve"> </w:t>
      </w:r>
    </w:p>
    <w:p w:rsidR="003B6AC0" w:rsidRDefault="003B6AC0" w:rsidP="003B6AC0">
      <w:pPr>
        <w:pStyle w:val="Overskrift2"/>
        <w:ind w:left="12"/>
      </w:pPr>
      <w:r>
        <w:rPr>
          <w:i w:val="0"/>
        </w:rPr>
        <w:t xml:space="preserve">§ 4. </w:t>
      </w:r>
      <w:r>
        <w:t>Avgift ved ikke utført feiing</w:t>
      </w:r>
      <w:r>
        <w:rPr>
          <w:b w:val="0"/>
          <w:i w:val="0"/>
        </w:rPr>
        <w:t xml:space="preserve"> </w:t>
      </w:r>
    </w:p>
    <w:p w:rsidR="003B6AC0" w:rsidRDefault="003B6AC0" w:rsidP="003B6AC0">
      <w:pPr>
        <w:ind w:left="2" w:right="623"/>
      </w:pPr>
      <w:r>
        <w:t xml:space="preserve">Betalingsplikten gjelder selv om det i et enkelt år ikke blir tilbudt tjenesten på grunn av mindre forskyvinger i feieruten. </w:t>
      </w:r>
    </w:p>
    <w:p w:rsidR="003B6AC0" w:rsidRDefault="003B6AC0" w:rsidP="003B6AC0">
      <w:pPr>
        <w:spacing w:after="147"/>
        <w:ind w:left="2" w:right="623"/>
      </w:pPr>
      <w:r>
        <w:t xml:space="preserve">Avgiften innkreves også der feier etter varsel ved oppmøte til fastsatt tid, ikke har fått tilfredsstillende adkomst til fyringsanlegget fordi eier eller bruker ikke har vært tilstede, eller lagt forholdene til rette for adkomst til fyringsanlegget. </w:t>
      </w:r>
    </w:p>
    <w:p w:rsidR="003B6AC0" w:rsidRDefault="003B6AC0" w:rsidP="003B6AC0">
      <w:pPr>
        <w:spacing w:after="0" w:line="259" w:lineRule="auto"/>
        <w:ind w:right="0" w:firstLine="0"/>
      </w:pPr>
      <w:r>
        <w:rPr>
          <w:b/>
        </w:rPr>
        <w:t xml:space="preserve"> </w:t>
      </w:r>
    </w:p>
    <w:p w:rsidR="003B6AC0" w:rsidRDefault="003B6AC0" w:rsidP="003B6AC0">
      <w:pPr>
        <w:pStyle w:val="Overskrift2"/>
        <w:ind w:left="12"/>
      </w:pPr>
      <w:r>
        <w:rPr>
          <w:i w:val="0"/>
        </w:rPr>
        <w:t xml:space="preserve">§ 5. </w:t>
      </w:r>
      <w:r>
        <w:t>Avgiftsfritak</w:t>
      </w:r>
      <w:r>
        <w:rPr>
          <w:b w:val="0"/>
          <w:i w:val="0"/>
        </w:rPr>
        <w:t xml:space="preserve"> </w:t>
      </w:r>
    </w:p>
    <w:p w:rsidR="003B6AC0" w:rsidRDefault="003B6AC0" w:rsidP="003B6AC0">
      <w:pPr>
        <w:ind w:left="2" w:right="623"/>
      </w:pPr>
      <w:r>
        <w:t xml:space="preserve">Forutsetningen for avgiftsfritak er at fyringsanlegget ikke er i bruk over tid, samt at det er tilfredsstillende sikret mot bruk. Tilfredsstillende sikring mot bruk vil være en fysisk adskillelse av den varmeproduserende enheten og skorsteinen. Dette skjer ved å fjerne røykrørstilkoblingen og mure igjen hullet i skorsteinen. Alternativt kan ildsted eller </w:t>
      </w:r>
      <w:proofErr w:type="spellStart"/>
      <w:r>
        <w:t>røykløp</w:t>
      </w:r>
      <w:proofErr w:type="spellEnd"/>
      <w:r>
        <w:t xml:space="preserve"> fysisk plomberes. </w:t>
      </w:r>
    </w:p>
    <w:p w:rsidR="003B6AC0" w:rsidRDefault="003B6AC0" w:rsidP="003B6AC0">
      <w:pPr>
        <w:spacing w:after="373"/>
        <w:ind w:left="2" w:right="623"/>
      </w:pPr>
      <w:r>
        <w:t xml:space="preserve">Når tilfredsstillende sikring er gjennomført, skal avgift ikke faktureres. Det er eier eller bruker av fyringsanlegget som er ansvarlig for å underrette kommunen (ved søknad om fritak for feie- og tilsynsavgift) at fyringsanlegget ikke lenger er i bruk, samt gi melding til kommunen dersom det tas i bruk igjen. </w:t>
      </w:r>
    </w:p>
    <w:p w:rsidR="003B6AC0" w:rsidRDefault="003B6AC0" w:rsidP="003B6AC0">
      <w:pPr>
        <w:ind w:left="2" w:right="623"/>
      </w:pPr>
      <w:r>
        <w:t xml:space="preserve">Avgiftsplikten er ikke knyttet til tidspunktet for når den enkelte feiing, eller det enkelte tilsynet er gjennomført, men gjelder for feierperioden uansett når i perioden tjenesten finner sted. </w:t>
      </w:r>
    </w:p>
    <w:p w:rsidR="003B6AC0" w:rsidRDefault="003B6AC0" w:rsidP="003B6AC0">
      <w:pPr>
        <w:spacing w:after="0" w:line="259" w:lineRule="auto"/>
        <w:ind w:right="0" w:firstLine="0"/>
      </w:pPr>
      <w:r>
        <w:t xml:space="preserve"> </w:t>
      </w:r>
    </w:p>
    <w:p w:rsidR="003B6AC0" w:rsidRDefault="003B6AC0" w:rsidP="003B6AC0">
      <w:pPr>
        <w:pStyle w:val="Overskrift2"/>
        <w:ind w:left="12"/>
      </w:pPr>
      <w:r>
        <w:rPr>
          <w:i w:val="0"/>
        </w:rPr>
        <w:t xml:space="preserve">§ 6. </w:t>
      </w:r>
      <w:r>
        <w:t>Innkrevingsordning</w:t>
      </w:r>
      <w:r>
        <w:rPr>
          <w:b w:val="0"/>
          <w:i w:val="0"/>
        </w:rPr>
        <w:t xml:space="preserve"> </w:t>
      </w:r>
    </w:p>
    <w:p w:rsidR="003B6AC0" w:rsidRDefault="003B6AC0" w:rsidP="003B6AC0">
      <w:pPr>
        <w:ind w:left="2" w:right="623"/>
      </w:pPr>
      <w:r>
        <w:t xml:space="preserve">Avgiften kreves inn som en årlig avgift. Avgiftsplikten er ikke knyttet opp mot tidspunktet eller fastsatt intervall for feiing eller tilsyn. </w:t>
      </w:r>
    </w:p>
    <w:p w:rsidR="003B6AC0" w:rsidRDefault="003B6AC0" w:rsidP="003B6AC0">
      <w:pPr>
        <w:spacing w:after="147"/>
        <w:ind w:left="2" w:right="623"/>
      </w:pPr>
      <w:r>
        <w:t xml:space="preserve">Avgiften innkreves sammen med de andre kommunale avgifter for å opprettholde et rasjonelt innkrevingssystem. </w:t>
      </w:r>
    </w:p>
    <w:p w:rsidR="003B6AC0" w:rsidRDefault="003B6AC0" w:rsidP="003B6AC0">
      <w:pPr>
        <w:spacing w:after="0" w:line="259" w:lineRule="auto"/>
        <w:ind w:right="0" w:firstLine="0"/>
      </w:pPr>
      <w:r>
        <w:rPr>
          <w:b/>
        </w:rPr>
        <w:t xml:space="preserve"> </w:t>
      </w:r>
    </w:p>
    <w:p w:rsidR="003B6AC0" w:rsidRDefault="003B6AC0" w:rsidP="003B6AC0">
      <w:pPr>
        <w:pStyle w:val="Overskrift2"/>
        <w:ind w:left="12"/>
      </w:pPr>
      <w:r>
        <w:rPr>
          <w:i w:val="0"/>
        </w:rPr>
        <w:t xml:space="preserve">§ 7. </w:t>
      </w:r>
      <w:r>
        <w:t>Håndheving og sanksjoner</w:t>
      </w:r>
      <w:r>
        <w:rPr>
          <w:b w:val="0"/>
          <w:i w:val="0"/>
        </w:rPr>
        <w:t xml:space="preserve"> </w:t>
      </w:r>
    </w:p>
    <w:p w:rsidR="003B6AC0" w:rsidRDefault="003B6AC0" w:rsidP="003B6AC0">
      <w:pPr>
        <w:ind w:left="2" w:right="623"/>
      </w:pPr>
      <w:r>
        <w:t xml:space="preserve">Lokalt tilsyn, håndheving og sanksjoner skal finne sted i samsvar bestemmelser i brann- og eksplosjonsvernlovens kapittel 7. </w:t>
      </w:r>
    </w:p>
    <w:p w:rsidR="003B6AC0" w:rsidRDefault="003B6AC0" w:rsidP="003B6AC0">
      <w:pPr>
        <w:pStyle w:val="Overskrift2"/>
        <w:ind w:left="12"/>
      </w:pPr>
      <w:r>
        <w:rPr>
          <w:i w:val="0"/>
        </w:rPr>
        <w:lastRenderedPageBreak/>
        <w:t xml:space="preserve">§ 8. </w:t>
      </w:r>
      <w:r>
        <w:t>Klage</w:t>
      </w:r>
      <w:r>
        <w:rPr>
          <w:b w:val="0"/>
          <w:i w:val="0"/>
        </w:rPr>
        <w:t xml:space="preserve"> </w:t>
      </w:r>
    </w:p>
    <w:p w:rsidR="003B6AC0" w:rsidRDefault="003B6AC0" w:rsidP="003B6AC0">
      <w:pPr>
        <w:ind w:left="2" w:right="623"/>
      </w:pPr>
      <w:r>
        <w:t xml:space="preserve">Klage på vedtak gjort i medhold av denne forskrift fremsettes skriftlig til Herøy kommune v/brannsjefen. </w:t>
      </w:r>
    </w:p>
    <w:p w:rsidR="003B6AC0" w:rsidRDefault="003B6AC0" w:rsidP="003B6AC0">
      <w:pPr>
        <w:spacing w:after="147"/>
        <w:ind w:left="2" w:right="623"/>
      </w:pPr>
      <w:r>
        <w:t xml:space="preserve">Saksbehandlingen ved klager følger bestemmelsene gitt i eller i medhold av brann- og eksplosjonsvernloven, samt lov om behandlingsmåten i forvaltningssaker (forvaltningsloven). </w:t>
      </w:r>
      <w:bookmarkStart w:id="0" w:name="_GoBack"/>
      <w:bookmarkEnd w:id="0"/>
    </w:p>
    <w:p w:rsidR="003B6AC0" w:rsidRDefault="003B6AC0" w:rsidP="003B6AC0">
      <w:pPr>
        <w:spacing w:after="0" w:line="259" w:lineRule="auto"/>
        <w:ind w:right="0" w:firstLine="0"/>
      </w:pPr>
      <w:r>
        <w:rPr>
          <w:b/>
        </w:rPr>
        <w:t xml:space="preserve"> </w:t>
      </w:r>
    </w:p>
    <w:p w:rsidR="003B6AC0" w:rsidRDefault="003B6AC0" w:rsidP="003B6AC0">
      <w:pPr>
        <w:pStyle w:val="Overskrift2"/>
        <w:ind w:left="12"/>
      </w:pPr>
      <w:r>
        <w:rPr>
          <w:i w:val="0"/>
        </w:rPr>
        <w:t xml:space="preserve">§ 9. </w:t>
      </w:r>
      <w:r>
        <w:t>Ikrafttredelse</w:t>
      </w:r>
      <w:r>
        <w:rPr>
          <w:b w:val="0"/>
          <w:i w:val="0"/>
        </w:rPr>
        <w:t xml:space="preserve"> </w:t>
      </w:r>
    </w:p>
    <w:p w:rsidR="003B6AC0" w:rsidRDefault="003B6AC0" w:rsidP="003B6AC0">
      <w:pPr>
        <w:spacing w:after="115" w:line="259" w:lineRule="auto"/>
        <w:ind w:left="507" w:right="0" w:firstLine="0"/>
      </w:pPr>
      <w:proofErr w:type="spellStart"/>
      <w:r>
        <w:rPr>
          <w:rFonts w:ascii="Tahoma" w:eastAsia="Tahoma" w:hAnsi="Tahoma" w:cs="Tahoma"/>
        </w:rPr>
        <w:t>Forskriften</w:t>
      </w:r>
      <w:proofErr w:type="spellEnd"/>
      <w:r>
        <w:rPr>
          <w:rFonts w:ascii="Tahoma" w:eastAsia="Tahoma" w:hAnsi="Tahoma" w:cs="Tahoma"/>
        </w:rPr>
        <w:t xml:space="preserve"> trer i kraft fra </w:t>
      </w:r>
      <w:r>
        <w:rPr>
          <w:rFonts w:ascii="Tahoma" w:eastAsia="Tahoma" w:hAnsi="Tahoma" w:cs="Tahoma"/>
          <w:shd w:val="clear" w:color="auto" w:fill="A9A9A9"/>
        </w:rPr>
        <w:t>«dato»</w:t>
      </w:r>
      <w:r>
        <w:rPr>
          <w:rFonts w:ascii="Tahoma" w:eastAsia="Tahoma" w:hAnsi="Tahoma" w:cs="Tahoma"/>
        </w:rPr>
        <w:t xml:space="preserve">. </w:t>
      </w:r>
    </w:p>
    <w:p w:rsidR="003B6AC0" w:rsidRDefault="003B6AC0" w:rsidP="003B6AC0"/>
    <w:p w:rsidR="00C94A45" w:rsidRDefault="00C94A45"/>
    <w:sectPr w:rsidR="00C94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C0"/>
    <w:rsid w:val="003B6AC0"/>
    <w:rsid w:val="00BF02C7"/>
    <w:rsid w:val="00C94A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C0"/>
    <w:pPr>
      <w:spacing w:after="224" w:line="249" w:lineRule="auto"/>
      <w:ind w:left="17" w:right="235" w:firstLine="480"/>
    </w:pPr>
    <w:rPr>
      <w:rFonts w:ascii="Arial" w:eastAsia="Arial" w:hAnsi="Arial" w:cs="Arial"/>
      <w:color w:val="333333"/>
      <w:sz w:val="23"/>
      <w:szCs w:val="22"/>
    </w:rPr>
  </w:style>
  <w:style w:type="paragraph" w:styleId="Overskrift1">
    <w:name w:val="heading 1"/>
    <w:next w:val="Normal"/>
    <w:link w:val="Overskrift1Tegn"/>
    <w:uiPriority w:val="9"/>
    <w:unhideWhenUsed/>
    <w:qFormat/>
    <w:rsid w:val="003B6AC0"/>
    <w:pPr>
      <w:keepNext/>
      <w:keepLines/>
      <w:spacing w:line="237" w:lineRule="auto"/>
      <w:ind w:left="17" w:right="2091" w:hanging="17"/>
      <w:outlineLvl w:val="0"/>
    </w:pPr>
    <w:rPr>
      <w:rFonts w:ascii="Tahoma" w:eastAsia="Tahoma" w:hAnsi="Tahoma" w:cs="Tahoma"/>
      <w:color w:val="000000"/>
      <w:sz w:val="25"/>
      <w:szCs w:val="22"/>
    </w:rPr>
  </w:style>
  <w:style w:type="paragraph" w:styleId="Overskrift2">
    <w:name w:val="heading 2"/>
    <w:next w:val="Normal"/>
    <w:link w:val="Overskrift2Tegn"/>
    <w:uiPriority w:val="9"/>
    <w:unhideWhenUsed/>
    <w:qFormat/>
    <w:rsid w:val="003B6AC0"/>
    <w:pPr>
      <w:keepNext/>
      <w:keepLines/>
      <w:spacing w:after="220" w:line="259" w:lineRule="auto"/>
      <w:ind w:left="27" w:hanging="10"/>
      <w:outlineLvl w:val="1"/>
    </w:pPr>
    <w:rPr>
      <w:rFonts w:ascii="Arial" w:eastAsia="Arial" w:hAnsi="Arial" w:cs="Arial"/>
      <w:b/>
      <w:i/>
      <w:color w:val="333333"/>
      <w:sz w:val="23"/>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B6AC0"/>
    <w:rPr>
      <w:rFonts w:ascii="Tahoma" w:eastAsia="Tahoma" w:hAnsi="Tahoma" w:cs="Tahoma"/>
      <w:color w:val="000000"/>
      <w:sz w:val="25"/>
      <w:szCs w:val="22"/>
    </w:rPr>
  </w:style>
  <w:style w:type="character" w:customStyle="1" w:styleId="Overskrift2Tegn">
    <w:name w:val="Overskrift 2 Tegn"/>
    <w:basedOn w:val="Standardskriftforavsnitt"/>
    <w:link w:val="Overskrift2"/>
    <w:uiPriority w:val="9"/>
    <w:rsid w:val="003B6AC0"/>
    <w:rPr>
      <w:rFonts w:ascii="Arial" w:eastAsia="Arial" w:hAnsi="Arial" w:cs="Arial"/>
      <w:b/>
      <w:i/>
      <w:color w:val="333333"/>
      <w:sz w:val="23"/>
      <w:szCs w:val="22"/>
    </w:rPr>
  </w:style>
  <w:style w:type="table" w:customStyle="1" w:styleId="TableGrid">
    <w:name w:val="TableGrid"/>
    <w:rsid w:val="003B6AC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C0"/>
    <w:pPr>
      <w:spacing w:after="224" w:line="249" w:lineRule="auto"/>
      <w:ind w:left="17" w:right="235" w:firstLine="480"/>
    </w:pPr>
    <w:rPr>
      <w:rFonts w:ascii="Arial" w:eastAsia="Arial" w:hAnsi="Arial" w:cs="Arial"/>
      <w:color w:val="333333"/>
      <w:sz w:val="23"/>
      <w:szCs w:val="22"/>
    </w:rPr>
  </w:style>
  <w:style w:type="paragraph" w:styleId="Overskrift1">
    <w:name w:val="heading 1"/>
    <w:next w:val="Normal"/>
    <w:link w:val="Overskrift1Tegn"/>
    <w:uiPriority w:val="9"/>
    <w:unhideWhenUsed/>
    <w:qFormat/>
    <w:rsid w:val="003B6AC0"/>
    <w:pPr>
      <w:keepNext/>
      <w:keepLines/>
      <w:spacing w:line="237" w:lineRule="auto"/>
      <w:ind w:left="17" w:right="2091" w:hanging="17"/>
      <w:outlineLvl w:val="0"/>
    </w:pPr>
    <w:rPr>
      <w:rFonts w:ascii="Tahoma" w:eastAsia="Tahoma" w:hAnsi="Tahoma" w:cs="Tahoma"/>
      <w:color w:val="000000"/>
      <w:sz w:val="25"/>
      <w:szCs w:val="22"/>
    </w:rPr>
  </w:style>
  <w:style w:type="paragraph" w:styleId="Overskrift2">
    <w:name w:val="heading 2"/>
    <w:next w:val="Normal"/>
    <w:link w:val="Overskrift2Tegn"/>
    <w:uiPriority w:val="9"/>
    <w:unhideWhenUsed/>
    <w:qFormat/>
    <w:rsid w:val="003B6AC0"/>
    <w:pPr>
      <w:keepNext/>
      <w:keepLines/>
      <w:spacing w:after="220" w:line="259" w:lineRule="auto"/>
      <w:ind w:left="27" w:hanging="10"/>
      <w:outlineLvl w:val="1"/>
    </w:pPr>
    <w:rPr>
      <w:rFonts w:ascii="Arial" w:eastAsia="Arial" w:hAnsi="Arial" w:cs="Arial"/>
      <w:b/>
      <w:i/>
      <w:color w:val="333333"/>
      <w:sz w:val="23"/>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B6AC0"/>
    <w:rPr>
      <w:rFonts w:ascii="Tahoma" w:eastAsia="Tahoma" w:hAnsi="Tahoma" w:cs="Tahoma"/>
      <w:color w:val="000000"/>
      <w:sz w:val="25"/>
      <w:szCs w:val="22"/>
    </w:rPr>
  </w:style>
  <w:style w:type="character" w:customStyle="1" w:styleId="Overskrift2Tegn">
    <w:name w:val="Overskrift 2 Tegn"/>
    <w:basedOn w:val="Standardskriftforavsnitt"/>
    <w:link w:val="Overskrift2"/>
    <w:uiPriority w:val="9"/>
    <w:rsid w:val="003B6AC0"/>
    <w:rPr>
      <w:rFonts w:ascii="Arial" w:eastAsia="Arial" w:hAnsi="Arial" w:cs="Arial"/>
      <w:b/>
      <w:i/>
      <w:color w:val="333333"/>
      <w:sz w:val="23"/>
      <w:szCs w:val="22"/>
    </w:rPr>
  </w:style>
  <w:style w:type="table" w:customStyle="1" w:styleId="TableGrid">
    <w:name w:val="TableGrid"/>
    <w:rsid w:val="003B6AC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9A7FB9A1.dotm</Template>
  <TotalTime>1</TotalTime>
  <Pages>3</Pages>
  <Words>667</Words>
  <Characters>3537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Beate Nilsen</dc:creator>
  <cp:lastModifiedBy>Elin Beate Nilsen</cp:lastModifiedBy>
  <cp:revision>1</cp:revision>
  <dcterms:created xsi:type="dcterms:W3CDTF">2019-03-18T13:46:00Z</dcterms:created>
  <dcterms:modified xsi:type="dcterms:W3CDTF">2019-03-18T13:47:00Z</dcterms:modified>
</cp:coreProperties>
</file>